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0" w:rsidRDefault="00F60140" w:rsidP="00F60140">
      <w:pPr>
        <w:pStyle w:val="Heading1"/>
        <w:jc w:val="center"/>
      </w:pPr>
      <w:bookmarkStart w:id="0" w:name="_GoBack"/>
      <w:bookmarkEnd w:id="0"/>
      <w:r>
        <w:t>ISLN and KLA:  Purposes and Non-purposes</w:t>
      </w:r>
    </w:p>
    <w:p w:rsidR="00F60140" w:rsidRDefault="00F60140" w:rsidP="0096372D"/>
    <w:p w:rsidR="0096372D" w:rsidRPr="002A2560" w:rsidRDefault="0096372D" w:rsidP="0096372D">
      <w:pPr>
        <w:rPr>
          <w:b/>
        </w:rPr>
      </w:pPr>
      <w:r w:rsidRPr="002A2560">
        <w:rPr>
          <w:b/>
        </w:rPr>
        <w:t>I</w:t>
      </w:r>
      <w:r w:rsidR="002A2560">
        <w:rPr>
          <w:b/>
        </w:rPr>
        <w:t xml:space="preserve">nstructional </w:t>
      </w:r>
      <w:r w:rsidRPr="002A2560">
        <w:rPr>
          <w:b/>
        </w:rPr>
        <w:t>S</w:t>
      </w:r>
      <w:r w:rsidR="002A2560">
        <w:rPr>
          <w:b/>
        </w:rPr>
        <w:t xml:space="preserve">upport </w:t>
      </w:r>
      <w:r w:rsidRPr="002A2560">
        <w:rPr>
          <w:b/>
        </w:rPr>
        <w:t>L</w:t>
      </w:r>
      <w:r w:rsidR="002A2560">
        <w:rPr>
          <w:b/>
        </w:rPr>
        <w:t xml:space="preserve">eadership </w:t>
      </w:r>
      <w:r w:rsidRPr="002A2560">
        <w:rPr>
          <w:b/>
        </w:rPr>
        <w:t>N</w:t>
      </w:r>
      <w:r w:rsidR="002A2560">
        <w:rPr>
          <w:b/>
        </w:rPr>
        <w:t>etwork (ISLN)</w:t>
      </w:r>
      <w:r w:rsidRPr="002A2560">
        <w:rPr>
          <w:b/>
        </w:rPr>
        <w:t xml:space="preserve">:  </w:t>
      </w:r>
    </w:p>
    <w:p w:rsidR="0096372D" w:rsidRDefault="0096372D" w:rsidP="0096372D"/>
    <w:p w:rsidR="0096372D" w:rsidRDefault="0096372D" w:rsidP="0096372D">
      <w:r>
        <w:rPr>
          <w:u w:val="single"/>
        </w:rPr>
        <w:t>Build capacity</w:t>
      </w:r>
      <w:r>
        <w:t xml:space="preserve"> of a </w:t>
      </w:r>
      <w:r>
        <w:rPr>
          <w:b/>
          <w:bCs/>
          <w:u w:val="single"/>
        </w:rPr>
        <w:t>DISTRICT LEADERSHIP</w:t>
      </w:r>
      <w:r>
        <w:t xml:space="preserve"> </w:t>
      </w:r>
      <w:r>
        <w:rPr>
          <w:b/>
          <w:bCs/>
          <w:u w:val="single"/>
        </w:rPr>
        <w:t>TEAM</w:t>
      </w:r>
      <w:r>
        <w:t xml:space="preserve"> (that includes teacher, school, and district leaders—those attending ALL networks) to have the skills, competencies, and resources to systemically </w:t>
      </w:r>
      <w:r>
        <w:rPr>
          <w:u w:val="single"/>
        </w:rPr>
        <w:t>plan for the effective implementation</w:t>
      </w:r>
      <w:r>
        <w:t xml:space="preserve"> of </w:t>
      </w:r>
      <w:r>
        <w:rPr>
          <w:u w:val="single"/>
        </w:rPr>
        <w:t>new standards</w:t>
      </w:r>
      <w:r>
        <w:t xml:space="preserve"> by considering </w:t>
      </w:r>
      <w:r>
        <w:rPr>
          <w:u w:val="single"/>
        </w:rPr>
        <w:t>highly effective practices</w:t>
      </w:r>
      <w:r>
        <w:t xml:space="preserve">, including deep understanding of the formative </w:t>
      </w:r>
      <w:r>
        <w:rPr>
          <w:u w:val="single"/>
        </w:rPr>
        <w:t>assessment process</w:t>
      </w:r>
      <w:r>
        <w:t xml:space="preserve">, and leveraging internal leadership to </w:t>
      </w:r>
      <w:r>
        <w:rPr>
          <w:u w:val="single"/>
        </w:rPr>
        <w:t>scale up implementation district-wide</w:t>
      </w:r>
      <w:r>
        <w:t xml:space="preserve">.  </w:t>
      </w:r>
    </w:p>
    <w:p w:rsidR="0096372D" w:rsidRDefault="0096372D" w:rsidP="0096372D"/>
    <w:p w:rsidR="0096372D" w:rsidRDefault="0096372D" w:rsidP="0096372D">
      <w:r>
        <w:t>Each ISLN meeting will engage the school and district representatives in understanding/seeking solutions to issues related to:</w:t>
      </w:r>
    </w:p>
    <w:p w:rsidR="0096372D" w:rsidRDefault="0096372D" w:rsidP="0096372D">
      <w:pPr>
        <w:pStyle w:val="ListParagraph"/>
        <w:numPr>
          <w:ilvl w:val="1"/>
          <w:numId w:val="1"/>
        </w:numPr>
      </w:pPr>
      <w:r>
        <w:t xml:space="preserve">how </w:t>
      </w:r>
      <w:r>
        <w:rPr>
          <w:b/>
          <w:bCs/>
          <w:i/>
          <w:iCs/>
          <w:color w:val="984807"/>
        </w:rPr>
        <w:t>standards implementation connects to educator effectiveness;</w:t>
      </w:r>
    </w:p>
    <w:p w:rsidR="0096372D" w:rsidRDefault="0096372D" w:rsidP="0096372D">
      <w:pPr>
        <w:pStyle w:val="ListParagraph"/>
        <w:numPr>
          <w:ilvl w:val="1"/>
          <w:numId w:val="1"/>
        </w:numPr>
      </w:pPr>
      <w:r>
        <w:t xml:space="preserve">recognizing necessary instructional </w:t>
      </w:r>
      <w:r>
        <w:rPr>
          <w:b/>
          <w:bCs/>
          <w:i/>
          <w:iCs/>
          <w:color w:val="984807"/>
        </w:rPr>
        <w:t>‘shifts’</w:t>
      </w:r>
      <w:r>
        <w:rPr>
          <w:color w:val="984807"/>
        </w:rPr>
        <w:t xml:space="preserve"> </w:t>
      </w:r>
      <w:r>
        <w:t>as a result of new standards;</w:t>
      </w:r>
    </w:p>
    <w:p w:rsidR="0096372D" w:rsidRDefault="0096372D" w:rsidP="0096372D">
      <w:pPr>
        <w:pStyle w:val="ListParagraph"/>
        <w:numPr>
          <w:ilvl w:val="1"/>
          <w:numId w:val="1"/>
        </w:numPr>
      </w:pPr>
      <w:r>
        <w:t xml:space="preserve">ability of schools/districts to build a </w:t>
      </w:r>
      <w:r>
        <w:rPr>
          <w:b/>
          <w:bCs/>
          <w:i/>
          <w:iCs/>
          <w:color w:val="953735"/>
        </w:rPr>
        <w:t>systemic professional learning plan</w:t>
      </w:r>
      <w:r>
        <w:rPr>
          <w:color w:val="953735"/>
        </w:rPr>
        <w:t xml:space="preserve"> </w:t>
      </w:r>
      <w:r>
        <w:t xml:space="preserve">for the </w:t>
      </w:r>
      <w:r>
        <w:rPr>
          <w:b/>
          <w:bCs/>
          <w:i/>
          <w:iCs/>
          <w:color w:val="953735"/>
        </w:rPr>
        <w:t>building and implementation of curricula</w:t>
      </w:r>
      <w:r>
        <w:rPr>
          <w:color w:val="953735"/>
        </w:rPr>
        <w:t xml:space="preserve"> </w:t>
      </w:r>
      <w:r>
        <w:t>based on new standards;</w:t>
      </w:r>
    </w:p>
    <w:p w:rsidR="0096372D" w:rsidRDefault="0096372D" w:rsidP="0096372D">
      <w:pPr>
        <w:pStyle w:val="ListParagraph"/>
        <w:numPr>
          <w:ilvl w:val="1"/>
          <w:numId w:val="1"/>
        </w:numPr>
      </w:pPr>
      <w:r>
        <w:t xml:space="preserve">deepening the understanding of all educators regarding assessment literacy—particularly </w:t>
      </w:r>
      <w:r>
        <w:rPr>
          <w:b/>
          <w:bCs/>
          <w:i/>
          <w:iCs/>
          <w:color w:val="953735"/>
        </w:rPr>
        <w:t>realizing the appropriate and defensible uses of summative and of formative information</w:t>
      </w:r>
      <w:r>
        <w:t>, including necessary skills and competencies needed by all educators to enact a strong, balanced assessment system that yield actionable and defensible evidence of student learning;</w:t>
      </w:r>
    </w:p>
    <w:p w:rsidR="0096372D" w:rsidRDefault="0096372D" w:rsidP="0096372D">
      <w:pPr>
        <w:pStyle w:val="ListParagraph"/>
        <w:numPr>
          <w:ilvl w:val="1"/>
          <w:numId w:val="1"/>
        </w:numPr>
      </w:pPr>
      <w:r>
        <w:t xml:space="preserve">building a system that values ongoing </w:t>
      </w:r>
      <w:r>
        <w:rPr>
          <w:b/>
          <w:bCs/>
          <w:i/>
          <w:iCs/>
          <w:color w:val="984807"/>
        </w:rPr>
        <w:t xml:space="preserve">collaboration and learning through practicing and refining protocols </w:t>
      </w:r>
      <w:r>
        <w:t>that facilitate effective and efficient processes;</w:t>
      </w:r>
    </w:p>
    <w:p w:rsidR="0096372D" w:rsidRDefault="0096372D" w:rsidP="0096372D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  <w:color w:val="984807"/>
        </w:rPr>
        <w:t>sharing lessons learned</w:t>
      </w:r>
      <w:r>
        <w:rPr>
          <w:color w:val="984807"/>
        </w:rPr>
        <w:t xml:space="preserve"> </w:t>
      </w:r>
      <w:r>
        <w:t xml:space="preserve">across/between districts related to scaling effective practices, developing/revising curricula, and </w:t>
      </w:r>
      <w:r>
        <w:rPr>
          <w:b/>
          <w:bCs/>
          <w:i/>
          <w:iCs/>
          <w:color w:val="984807"/>
        </w:rPr>
        <w:t>solving problems of practice</w:t>
      </w:r>
      <w:r>
        <w:t xml:space="preserve"> related to teaching and learning.</w:t>
      </w:r>
    </w:p>
    <w:p w:rsidR="0096372D" w:rsidRDefault="0096372D" w:rsidP="0096372D">
      <w:pPr>
        <w:pStyle w:val="ListParagraph"/>
        <w:ind w:left="1440"/>
      </w:pPr>
    </w:p>
    <w:p w:rsidR="0096372D" w:rsidRDefault="0096372D" w:rsidP="0096372D">
      <w:r>
        <w:t xml:space="preserve">ISLN is </w:t>
      </w:r>
      <w:r>
        <w:rPr>
          <w:b/>
          <w:bCs/>
          <w:u w:val="single"/>
        </w:rPr>
        <w:t>NOT</w:t>
      </w:r>
      <w:r>
        <w:t xml:space="preserve"> intended to </w:t>
      </w:r>
    </w:p>
    <w:p w:rsidR="0096372D" w:rsidRDefault="0096372D" w:rsidP="0096372D">
      <w:pPr>
        <w:pStyle w:val="ListParagraph"/>
        <w:numPr>
          <w:ilvl w:val="1"/>
          <w:numId w:val="3"/>
        </w:numPr>
      </w:pPr>
      <w:r>
        <w:t>Focus primarily on the ‘technical’/’how to’ issues around implementing PGES (T or P)—</w:t>
      </w:r>
      <w:r w:rsidRPr="0096372D">
        <w:rPr>
          <w:i/>
        </w:rPr>
        <w:t>but rather</w:t>
      </w:r>
      <w:r>
        <w:t xml:space="preserve"> on how effective practices contribute to educator effectiveness and how to reflect on implementation through a quality (vs compliance) lens</w:t>
      </w:r>
    </w:p>
    <w:p w:rsidR="0096372D" w:rsidRDefault="0096372D" w:rsidP="0096372D">
      <w:pPr>
        <w:pStyle w:val="ListParagraph"/>
        <w:numPr>
          <w:ilvl w:val="1"/>
          <w:numId w:val="3"/>
        </w:numPr>
      </w:pPr>
      <w:r>
        <w:t>Be a venue for ‘updates’ and ‘presentations’ –</w:t>
      </w:r>
      <w:r w:rsidRPr="0096372D">
        <w:rPr>
          <w:i/>
        </w:rPr>
        <w:t>but rather</w:t>
      </w:r>
      <w:r>
        <w:t xml:space="preserve"> an interactive ‘learning team’ where the needs of the group drive the work</w:t>
      </w:r>
    </w:p>
    <w:p w:rsidR="0096372D" w:rsidRDefault="0096372D" w:rsidP="0096372D">
      <w:pPr>
        <w:pStyle w:val="ListParagraph"/>
        <w:numPr>
          <w:ilvl w:val="1"/>
          <w:numId w:val="3"/>
        </w:numPr>
      </w:pPr>
      <w:r>
        <w:t>Be a venue for cooperatives to focus on their initiatives/work—</w:t>
      </w:r>
      <w:r w:rsidRPr="00C04436">
        <w:rPr>
          <w:i/>
        </w:rPr>
        <w:t>but rather</w:t>
      </w:r>
      <w:r>
        <w:t xml:space="preserve"> a focused and prioritized time to work toward the four key pillars</w:t>
      </w:r>
    </w:p>
    <w:p w:rsidR="008933D4" w:rsidRDefault="0096372D" w:rsidP="0096372D">
      <w:pPr>
        <w:pStyle w:val="ListParagraph"/>
        <w:numPr>
          <w:ilvl w:val="1"/>
          <w:numId w:val="3"/>
        </w:numPr>
      </w:pPr>
      <w:r>
        <w:t>Provide a location for districts to commiserate on problems—</w:t>
      </w:r>
      <w:r w:rsidRPr="00C04436">
        <w:rPr>
          <w:i/>
        </w:rPr>
        <w:t>but rather</w:t>
      </w:r>
      <w:r>
        <w:t xml:space="preserve"> a network of people capable of working collaboratively to propose solutions to challenges that districts are facing</w:t>
      </w:r>
    </w:p>
    <w:p w:rsidR="00C04436" w:rsidRDefault="00C04436" w:rsidP="00C04436"/>
    <w:p w:rsidR="00F60140" w:rsidRDefault="00F60140" w:rsidP="00C04436">
      <w:pPr>
        <w:spacing w:before="100" w:beforeAutospacing="1" w:after="100" w:afterAutospacing="1"/>
        <w:rPr>
          <w:color w:val="1A1A1A"/>
        </w:rPr>
      </w:pPr>
    </w:p>
    <w:p w:rsidR="00F60140" w:rsidRDefault="00F60140" w:rsidP="00C04436">
      <w:pPr>
        <w:spacing w:before="100" w:beforeAutospacing="1" w:after="100" w:afterAutospacing="1"/>
        <w:rPr>
          <w:color w:val="1A1A1A"/>
        </w:rPr>
      </w:pPr>
    </w:p>
    <w:p w:rsidR="00F60140" w:rsidRDefault="00F60140" w:rsidP="00C04436">
      <w:pPr>
        <w:spacing w:before="100" w:beforeAutospacing="1" w:after="100" w:afterAutospacing="1"/>
        <w:rPr>
          <w:color w:val="1A1A1A"/>
        </w:rPr>
      </w:pPr>
    </w:p>
    <w:p w:rsidR="00F60140" w:rsidRDefault="00F60140" w:rsidP="00C04436">
      <w:pPr>
        <w:spacing w:before="100" w:beforeAutospacing="1" w:after="100" w:afterAutospacing="1"/>
        <w:rPr>
          <w:color w:val="1A1A1A"/>
        </w:rPr>
      </w:pPr>
    </w:p>
    <w:p w:rsidR="00F60140" w:rsidRDefault="00F60140" w:rsidP="00C04436">
      <w:pPr>
        <w:spacing w:before="100" w:beforeAutospacing="1" w:after="100" w:afterAutospacing="1"/>
        <w:rPr>
          <w:color w:val="1A1A1A"/>
        </w:rPr>
      </w:pPr>
    </w:p>
    <w:p w:rsidR="00C04436" w:rsidRPr="002A2560" w:rsidRDefault="00C04436" w:rsidP="00C04436">
      <w:pPr>
        <w:spacing w:before="100" w:beforeAutospacing="1" w:after="100" w:afterAutospacing="1"/>
        <w:rPr>
          <w:rFonts w:ascii="Georgia" w:hAnsi="Georgia"/>
          <w:b/>
        </w:rPr>
      </w:pPr>
      <w:r w:rsidRPr="002A2560">
        <w:rPr>
          <w:b/>
          <w:color w:val="1A1A1A"/>
        </w:rPr>
        <w:t>K</w:t>
      </w:r>
      <w:r w:rsidR="002A2560">
        <w:rPr>
          <w:b/>
          <w:color w:val="1A1A1A"/>
        </w:rPr>
        <w:t xml:space="preserve">entucky </w:t>
      </w:r>
      <w:r w:rsidRPr="002A2560">
        <w:rPr>
          <w:b/>
          <w:color w:val="1A1A1A"/>
        </w:rPr>
        <w:t>L</w:t>
      </w:r>
      <w:r w:rsidR="002A2560">
        <w:rPr>
          <w:b/>
          <w:color w:val="1A1A1A"/>
        </w:rPr>
        <w:t xml:space="preserve">eadership </w:t>
      </w:r>
      <w:r w:rsidRPr="002A2560">
        <w:rPr>
          <w:b/>
          <w:color w:val="1A1A1A"/>
        </w:rPr>
        <w:t>A</w:t>
      </w:r>
      <w:r w:rsidR="002A2560">
        <w:rPr>
          <w:b/>
          <w:color w:val="1A1A1A"/>
        </w:rPr>
        <w:t>cademy (KLA)</w:t>
      </w:r>
      <w:r w:rsidRPr="002A2560">
        <w:rPr>
          <w:b/>
          <w:color w:val="1A1A1A"/>
        </w:rPr>
        <w:t>:</w:t>
      </w:r>
    </w:p>
    <w:p w:rsidR="00C04436" w:rsidRDefault="00C04436" w:rsidP="00C04436">
      <w:pPr>
        <w:spacing w:before="100" w:beforeAutospacing="1" w:after="100" w:afterAutospacing="1"/>
        <w:rPr>
          <w:rFonts w:ascii="Georgia" w:hAnsi="Georgia"/>
        </w:rPr>
      </w:pPr>
      <w:r w:rsidRPr="002A2560">
        <w:rPr>
          <w:color w:val="1A1A1A"/>
          <w:u w:val="single"/>
        </w:rPr>
        <w:t xml:space="preserve">Build the capacity of </w:t>
      </w:r>
      <w:r w:rsidRPr="009B35D4">
        <w:rPr>
          <w:b/>
          <w:color w:val="1A1A1A"/>
          <w:u w:val="single"/>
        </w:rPr>
        <w:t>Principals</w:t>
      </w:r>
      <w:r w:rsidRPr="002A2560">
        <w:rPr>
          <w:color w:val="1A1A1A"/>
          <w:u w:val="single"/>
        </w:rPr>
        <w:t xml:space="preserve"> and the District Leaders</w:t>
      </w:r>
      <w:r>
        <w:rPr>
          <w:color w:val="1A1A1A"/>
        </w:rPr>
        <w:t xml:space="preserve"> who support them to have the skills, competencies and resources to </w:t>
      </w:r>
      <w:r w:rsidRPr="002A2560">
        <w:rPr>
          <w:color w:val="1A1A1A"/>
          <w:u w:val="single"/>
        </w:rPr>
        <w:t>effectively implement PGES</w:t>
      </w:r>
      <w:r>
        <w:rPr>
          <w:color w:val="1A1A1A"/>
        </w:rPr>
        <w:t xml:space="preserve">.  Focus will be on the </w:t>
      </w:r>
      <w:r w:rsidRPr="002A2560">
        <w:rPr>
          <w:color w:val="1A1A1A"/>
          <w:u w:val="single"/>
        </w:rPr>
        <w:t>role of the principal</w:t>
      </w:r>
      <w:r>
        <w:rPr>
          <w:color w:val="1A1A1A"/>
        </w:rPr>
        <w:t xml:space="preserve">, as the instructional leader, </w:t>
      </w:r>
      <w:r w:rsidRPr="002A2560">
        <w:rPr>
          <w:color w:val="1A1A1A"/>
          <w:u w:val="single"/>
        </w:rPr>
        <w:t>to empower teachers</w:t>
      </w:r>
      <w:r>
        <w:rPr>
          <w:color w:val="1A1A1A"/>
        </w:rPr>
        <w:t xml:space="preserve"> through the process as well as effectively use school culture, structures and systems </w:t>
      </w:r>
      <w:r w:rsidRPr="002A2560">
        <w:rPr>
          <w:color w:val="1A1A1A"/>
          <w:u w:val="single"/>
        </w:rPr>
        <w:t>to encourage continuous improvement</w:t>
      </w:r>
      <w:r>
        <w:rPr>
          <w:color w:val="1A1A1A"/>
        </w:rPr>
        <w:t xml:space="preserve"> for principals, teachers and students.  </w:t>
      </w:r>
    </w:p>
    <w:p w:rsidR="00C04436" w:rsidRDefault="00C04436" w:rsidP="00C04436">
      <w:pPr>
        <w:spacing w:before="100" w:beforeAutospacing="1" w:after="100" w:afterAutospacing="1"/>
        <w:rPr>
          <w:rFonts w:ascii="Georgia" w:hAnsi="Georgia"/>
        </w:rPr>
      </w:pPr>
      <w:r>
        <w:rPr>
          <w:color w:val="1A1A1A"/>
        </w:rPr>
        <w:t> Each KLA meeting will engage participants in:</w:t>
      </w:r>
    </w:p>
    <w:p w:rsidR="00C04436" w:rsidRPr="00F60140" w:rsidRDefault="00C04436" w:rsidP="00F60140">
      <w:pPr>
        <w:pStyle w:val="ListParagraph"/>
        <w:numPr>
          <w:ilvl w:val="0"/>
          <w:numId w:val="7"/>
        </w:numPr>
        <w:spacing w:line="240" w:lineRule="exact"/>
        <w:rPr>
          <w:rFonts w:ascii="Georgia" w:hAnsi="Georgia"/>
        </w:rPr>
      </w:pPr>
      <w:r w:rsidRPr="009B35D4">
        <w:rPr>
          <w:b/>
          <w:i/>
          <w:color w:val="984806" w:themeColor="accent6" w:themeShade="80"/>
        </w:rPr>
        <w:t>collecting and analyzing  evidence</w:t>
      </w:r>
      <w:r w:rsidRPr="00F60140">
        <w:rPr>
          <w:color w:val="1A1A1A"/>
        </w:rPr>
        <w:t>;</w:t>
      </w:r>
    </w:p>
    <w:p w:rsidR="00C04436" w:rsidRDefault="00C04436" w:rsidP="00F60140">
      <w:pPr>
        <w:pStyle w:val="ListParagraph"/>
        <w:numPr>
          <w:ilvl w:val="0"/>
          <w:numId w:val="7"/>
        </w:numPr>
        <w:spacing w:line="240" w:lineRule="exact"/>
      </w:pPr>
      <w:r w:rsidRPr="00F60140">
        <w:rPr>
          <w:color w:val="1A1A1A"/>
        </w:rPr>
        <w:t xml:space="preserve">providing </w:t>
      </w:r>
      <w:r w:rsidRPr="009B35D4">
        <w:rPr>
          <w:b/>
          <w:i/>
          <w:color w:val="984806" w:themeColor="accent6" w:themeShade="80"/>
        </w:rPr>
        <w:t>feedback</w:t>
      </w:r>
      <w:r w:rsidRPr="00F60140">
        <w:rPr>
          <w:color w:val="1A1A1A"/>
        </w:rPr>
        <w:t>;</w:t>
      </w:r>
    </w:p>
    <w:p w:rsidR="00C04436" w:rsidRDefault="00C04436" w:rsidP="00F60140">
      <w:pPr>
        <w:pStyle w:val="ListParagraph"/>
        <w:numPr>
          <w:ilvl w:val="0"/>
          <w:numId w:val="7"/>
        </w:numPr>
        <w:spacing w:line="240" w:lineRule="exact"/>
      </w:pPr>
      <w:r w:rsidRPr="00F60140">
        <w:rPr>
          <w:color w:val="1A1A1A"/>
        </w:rPr>
        <w:t xml:space="preserve">planning for </w:t>
      </w:r>
      <w:r w:rsidRPr="009B35D4">
        <w:rPr>
          <w:b/>
          <w:i/>
          <w:color w:val="984806" w:themeColor="accent6" w:themeShade="80"/>
        </w:rPr>
        <w:t>coaching conversations</w:t>
      </w:r>
      <w:r w:rsidRPr="00F60140">
        <w:rPr>
          <w:color w:val="1A1A1A"/>
        </w:rPr>
        <w:t>;</w:t>
      </w:r>
    </w:p>
    <w:p w:rsidR="00C04436" w:rsidRDefault="00C04436" w:rsidP="00F60140">
      <w:pPr>
        <w:pStyle w:val="ListParagraph"/>
        <w:numPr>
          <w:ilvl w:val="0"/>
          <w:numId w:val="7"/>
        </w:numPr>
        <w:spacing w:line="240" w:lineRule="exact"/>
      </w:pPr>
      <w:r w:rsidRPr="00F60140">
        <w:rPr>
          <w:color w:val="1A1A1A"/>
        </w:rPr>
        <w:t xml:space="preserve">problem solving about </w:t>
      </w:r>
      <w:r w:rsidRPr="00585A4B">
        <w:rPr>
          <w:b/>
          <w:i/>
          <w:color w:val="984806" w:themeColor="accent6" w:themeShade="80"/>
        </w:rPr>
        <w:t>making the process more efficient</w:t>
      </w:r>
      <w:r w:rsidRPr="00585A4B">
        <w:rPr>
          <w:color w:val="984806" w:themeColor="accent6" w:themeShade="80"/>
        </w:rPr>
        <w:t xml:space="preserve"> </w:t>
      </w:r>
      <w:r w:rsidRPr="00F60140">
        <w:rPr>
          <w:color w:val="1A1A1A"/>
        </w:rPr>
        <w:t>for both administrators and teachers;</w:t>
      </w:r>
    </w:p>
    <w:p w:rsidR="00C04436" w:rsidRDefault="00C04436" w:rsidP="00F60140">
      <w:pPr>
        <w:pStyle w:val="ListParagraph"/>
        <w:numPr>
          <w:ilvl w:val="0"/>
          <w:numId w:val="7"/>
        </w:numPr>
        <w:spacing w:line="240" w:lineRule="exact"/>
      </w:pPr>
      <w:r w:rsidRPr="00F60140">
        <w:rPr>
          <w:color w:val="1A1A1A"/>
        </w:rPr>
        <w:t xml:space="preserve">utilizing </w:t>
      </w:r>
      <w:r w:rsidRPr="00AA1904">
        <w:rPr>
          <w:b/>
          <w:i/>
          <w:color w:val="984806" w:themeColor="accent6" w:themeShade="80"/>
        </w:rPr>
        <w:t>existing structures/systems</w:t>
      </w:r>
      <w:r w:rsidRPr="00AA1904">
        <w:rPr>
          <w:color w:val="984806" w:themeColor="accent6" w:themeShade="80"/>
        </w:rPr>
        <w:t xml:space="preserve"> </w:t>
      </w:r>
      <w:r w:rsidRPr="00F60140">
        <w:rPr>
          <w:color w:val="1A1A1A"/>
        </w:rPr>
        <w:t>(PLCs, Professional Learning, Assessment Systems) to support effectiveness;</w:t>
      </w:r>
    </w:p>
    <w:p w:rsidR="00C04436" w:rsidRDefault="00C04436" w:rsidP="00F60140">
      <w:pPr>
        <w:pStyle w:val="ListParagraph"/>
        <w:numPr>
          <w:ilvl w:val="0"/>
          <w:numId w:val="7"/>
        </w:numPr>
        <w:spacing w:line="240" w:lineRule="exact"/>
      </w:pPr>
      <w:r w:rsidRPr="00585A4B">
        <w:rPr>
          <w:b/>
          <w:i/>
          <w:color w:val="984806" w:themeColor="accent6" w:themeShade="80"/>
        </w:rPr>
        <w:t>making connections</w:t>
      </w:r>
      <w:r w:rsidRPr="00585A4B">
        <w:rPr>
          <w:color w:val="984806" w:themeColor="accent6" w:themeShade="80"/>
        </w:rPr>
        <w:t xml:space="preserve"> </w:t>
      </w:r>
      <w:r w:rsidRPr="00F60140">
        <w:rPr>
          <w:color w:val="1A1A1A"/>
        </w:rPr>
        <w:t>among PGES and assessment literacy, standards implementation and effective practices; and</w:t>
      </w:r>
    </w:p>
    <w:p w:rsidR="00C04436" w:rsidRDefault="00C04436" w:rsidP="00F60140">
      <w:pPr>
        <w:pStyle w:val="ListParagraph"/>
        <w:numPr>
          <w:ilvl w:val="0"/>
          <w:numId w:val="7"/>
        </w:numPr>
        <w:spacing w:line="240" w:lineRule="exact"/>
      </w:pPr>
      <w:r w:rsidRPr="00585A4B">
        <w:rPr>
          <w:b/>
          <w:i/>
          <w:color w:val="984806" w:themeColor="accent6" w:themeShade="80"/>
        </w:rPr>
        <w:t>sharing effective practices</w:t>
      </w:r>
      <w:r w:rsidRPr="00F60140">
        <w:rPr>
          <w:color w:val="1A1A1A"/>
        </w:rPr>
        <w:t>. </w:t>
      </w:r>
    </w:p>
    <w:p w:rsidR="00C04436" w:rsidRDefault="00C04436" w:rsidP="00C04436">
      <w:pPr>
        <w:spacing w:before="100" w:beforeAutospacing="1" w:after="100" w:afterAutospacing="1"/>
        <w:rPr>
          <w:rFonts w:ascii="Georgia" w:hAnsi="Georgia"/>
        </w:rPr>
      </w:pPr>
      <w:r>
        <w:rPr>
          <w:color w:val="1A1A1A"/>
        </w:rPr>
        <w:t xml:space="preserve"> KLA is </w:t>
      </w:r>
      <w:r w:rsidRPr="002A2560">
        <w:rPr>
          <w:b/>
          <w:color w:val="1A1A1A"/>
          <w:u w:val="single"/>
        </w:rPr>
        <w:t xml:space="preserve">NOT </w:t>
      </w:r>
      <w:r>
        <w:rPr>
          <w:color w:val="1A1A1A"/>
        </w:rPr>
        <w:t>intended to:</w:t>
      </w:r>
    </w:p>
    <w:p w:rsidR="00C04436" w:rsidRPr="00F60140" w:rsidRDefault="00C04436" w:rsidP="00F6014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F60140">
        <w:rPr>
          <w:color w:val="1A1A1A"/>
        </w:rPr>
        <w:t>Focus on instructional strategies needed to implement standards</w:t>
      </w:r>
    </w:p>
    <w:p w:rsidR="00C04436" w:rsidRPr="00F60140" w:rsidRDefault="00C04436" w:rsidP="00F60140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F60140">
        <w:rPr>
          <w:color w:val="1A1A1A"/>
        </w:rPr>
        <w:t>Provide updates and presentations but will actively involve participants in processing and applying new information. </w:t>
      </w:r>
    </w:p>
    <w:p w:rsidR="00C04436" w:rsidRDefault="00C04436" w:rsidP="00C04436"/>
    <w:sectPr w:rsidR="00C0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AD"/>
    <w:multiLevelType w:val="hybridMultilevel"/>
    <w:tmpl w:val="887A2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60770"/>
    <w:multiLevelType w:val="hybridMultilevel"/>
    <w:tmpl w:val="00B8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1006"/>
    <w:multiLevelType w:val="multilevel"/>
    <w:tmpl w:val="B97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1FCD"/>
    <w:multiLevelType w:val="multilevel"/>
    <w:tmpl w:val="725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35842"/>
    <w:multiLevelType w:val="hybridMultilevel"/>
    <w:tmpl w:val="6336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56783F"/>
    <w:multiLevelType w:val="hybridMultilevel"/>
    <w:tmpl w:val="D7823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45148"/>
    <w:multiLevelType w:val="hybridMultilevel"/>
    <w:tmpl w:val="EC04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D"/>
    <w:rsid w:val="00102201"/>
    <w:rsid w:val="002A2560"/>
    <w:rsid w:val="00505925"/>
    <w:rsid w:val="00585A4B"/>
    <w:rsid w:val="00777986"/>
    <w:rsid w:val="0096372D"/>
    <w:rsid w:val="009B35D4"/>
    <w:rsid w:val="00A679A4"/>
    <w:rsid w:val="00AA1904"/>
    <w:rsid w:val="00C04436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2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6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2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6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kkidwell</dc:creator>
  <cp:lastModifiedBy>dwaggon</cp:lastModifiedBy>
  <cp:revision>2</cp:revision>
  <dcterms:created xsi:type="dcterms:W3CDTF">2015-01-19T15:23:00Z</dcterms:created>
  <dcterms:modified xsi:type="dcterms:W3CDTF">2015-01-19T15:23:00Z</dcterms:modified>
</cp:coreProperties>
</file>